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D2FED" w14:textId="72CCD7DA" w:rsidR="009F3ADF" w:rsidRPr="00136FD1" w:rsidRDefault="00AD1669">
      <w:pPr>
        <w:rPr>
          <w:sz w:val="36"/>
          <w:szCs w:val="36"/>
        </w:rPr>
      </w:pPr>
      <w:r w:rsidRPr="00136FD1">
        <w:rPr>
          <w:sz w:val="36"/>
          <w:szCs w:val="36"/>
        </w:rPr>
        <w:t>Systematiskt arbetsmiljöarbete på Br. Ebbessons Åkeri</w:t>
      </w:r>
    </w:p>
    <w:p w14:paraId="3781CE44" w14:textId="4BED8B45" w:rsidR="00AD1669" w:rsidRDefault="00AD1669">
      <w:pPr>
        <w:rPr>
          <w:sz w:val="28"/>
          <w:szCs w:val="28"/>
        </w:rPr>
      </w:pPr>
    </w:p>
    <w:p w14:paraId="7304BD17" w14:textId="01A2DCC2" w:rsidR="004E0194" w:rsidRDefault="004E0194">
      <w:pPr>
        <w:rPr>
          <w:sz w:val="28"/>
          <w:szCs w:val="28"/>
        </w:rPr>
      </w:pPr>
      <w:r>
        <w:rPr>
          <w:sz w:val="28"/>
          <w:szCs w:val="28"/>
        </w:rPr>
        <w:t>Övergripande ansvaret för arbets</w:t>
      </w:r>
      <w:r w:rsidR="00134D03">
        <w:rPr>
          <w:sz w:val="28"/>
          <w:szCs w:val="28"/>
        </w:rPr>
        <w:t xml:space="preserve">miljön delas av Erik Ebbesson och Markus Ebbesson. </w:t>
      </w:r>
      <w:r w:rsidR="00134D03">
        <w:rPr>
          <w:sz w:val="28"/>
          <w:szCs w:val="28"/>
        </w:rPr>
        <w:br/>
        <w:t>Arbetet utförs genom att:</w:t>
      </w:r>
    </w:p>
    <w:p w14:paraId="1E38FEB4" w14:textId="77777777" w:rsidR="00990050" w:rsidRDefault="00134D03">
      <w:pPr>
        <w:rPr>
          <w:sz w:val="28"/>
          <w:szCs w:val="28"/>
        </w:rPr>
      </w:pPr>
      <w:r>
        <w:rPr>
          <w:sz w:val="28"/>
          <w:szCs w:val="28"/>
        </w:rPr>
        <w:t>Arbetsmiljön diskuteras r</w:t>
      </w:r>
      <w:r w:rsidR="00311238">
        <w:rPr>
          <w:sz w:val="28"/>
          <w:szCs w:val="28"/>
        </w:rPr>
        <w:t xml:space="preserve">egelbundet på arbetsplatsträffar och på medarbetarsamtal. Detta är dock inget </w:t>
      </w:r>
      <w:r w:rsidR="0053533F">
        <w:rPr>
          <w:sz w:val="28"/>
          <w:szCs w:val="28"/>
        </w:rPr>
        <w:t xml:space="preserve">hinder för att ansvarig och medarbetare diskuterar </w:t>
      </w:r>
      <w:r w:rsidR="00EB6447">
        <w:rPr>
          <w:sz w:val="28"/>
          <w:szCs w:val="28"/>
        </w:rPr>
        <w:t xml:space="preserve">arbetsmiljöfrågor i den dagliga verksamheten utan att det kallas till ett officiellt möte. </w:t>
      </w:r>
      <w:r w:rsidR="003E1685">
        <w:rPr>
          <w:sz w:val="28"/>
          <w:szCs w:val="28"/>
        </w:rPr>
        <w:t>Frågor som rör akuta arbetsmiljöproblem så som allvar</w:t>
      </w:r>
      <w:r w:rsidR="002B6CF2">
        <w:rPr>
          <w:sz w:val="28"/>
          <w:szCs w:val="28"/>
        </w:rPr>
        <w:t>l</w:t>
      </w:r>
      <w:r w:rsidR="003E1685">
        <w:rPr>
          <w:sz w:val="28"/>
          <w:szCs w:val="28"/>
        </w:rPr>
        <w:t>iga brister eller risker</w:t>
      </w:r>
      <w:r w:rsidR="009D76BB">
        <w:rPr>
          <w:sz w:val="28"/>
          <w:szCs w:val="28"/>
        </w:rPr>
        <w:t xml:space="preserve"> i verksamheten</w:t>
      </w:r>
      <w:r w:rsidR="003E1685">
        <w:rPr>
          <w:sz w:val="28"/>
          <w:szCs w:val="28"/>
        </w:rPr>
        <w:t xml:space="preserve"> ska han</w:t>
      </w:r>
      <w:r w:rsidR="002B6CF2">
        <w:rPr>
          <w:sz w:val="28"/>
          <w:szCs w:val="28"/>
        </w:rPr>
        <w:t xml:space="preserve">teras direkt </w:t>
      </w:r>
      <w:r w:rsidR="00C64BAE">
        <w:rPr>
          <w:sz w:val="28"/>
          <w:szCs w:val="28"/>
        </w:rPr>
        <w:t xml:space="preserve">genom </w:t>
      </w:r>
      <w:r w:rsidR="00822CA0">
        <w:rPr>
          <w:sz w:val="28"/>
          <w:szCs w:val="28"/>
        </w:rPr>
        <w:t xml:space="preserve">en rapport till ansvarig för arbetsmiljön. </w:t>
      </w:r>
      <w:r w:rsidR="00466AC8">
        <w:rPr>
          <w:sz w:val="28"/>
          <w:szCs w:val="28"/>
        </w:rPr>
        <w:t xml:space="preserve">Ej akuta ärenden kan rapporteras via ”blankett </w:t>
      </w:r>
      <w:r w:rsidR="003F01AD">
        <w:rPr>
          <w:sz w:val="28"/>
          <w:szCs w:val="28"/>
        </w:rPr>
        <w:t>för tillbudsrapportering” eller ta</w:t>
      </w:r>
      <w:r w:rsidR="004F1FBD">
        <w:rPr>
          <w:sz w:val="28"/>
          <w:szCs w:val="28"/>
        </w:rPr>
        <w:t xml:space="preserve">s upp på nästa planerade möte/samtal. </w:t>
      </w:r>
      <w:r w:rsidR="001A5323">
        <w:rPr>
          <w:sz w:val="28"/>
          <w:szCs w:val="28"/>
        </w:rPr>
        <w:br/>
      </w:r>
    </w:p>
    <w:p w14:paraId="197151BC" w14:textId="2B595C5C" w:rsidR="00990050" w:rsidRDefault="001A5323">
      <w:pPr>
        <w:rPr>
          <w:sz w:val="28"/>
          <w:szCs w:val="28"/>
        </w:rPr>
      </w:pPr>
      <w:r>
        <w:rPr>
          <w:sz w:val="28"/>
          <w:szCs w:val="28"/>
        </w:rPr>
        <w:t xml:space="preserve">Arbetet utförs också via riskbedömningar som </w:t>
      </w:r>
      <w:r w:rsidR="000F6A99">
        <w:rPr>
          <w:sz w:val="28"/>
          <w:szCs w:val="28"/>
        </w:rPr>
        <w:t xml:space="preserve">beskrivs tydligare nedan. </w:t>
      </w:r>
    </w:p>
    <w:p w14:paraId="7862D667" w14:textId="288535E5" w:rsidR="004F1FBD" w:rsidRDefault="000F6A99">
      <w:pPr>
        <w:rPr>
          <w:sz w:val="28"/>
          <w:szCs w:val="28"/>
        </w:rPr>
      </w:pPr>
      <w:r>
        <w:rPr>
          <w:sz w:val="28"/>
          <w:szCs w:val="28"/>
        </w:rPr>
        <w:t xml:space="preserve">Arbetsmiljöansvarig har även i samråd med medarbetarna tagit fram en arbetsmiljöpolicy som ska vara känd av </w:t>
      </w:r>
      <w:r w:rsidR="00C4475D">
        <w:rPr>
          <w:sz w:val="28"/>
          <w:szCs w:val="28"/>
        </w:rPr>
        <w:t xml:space="preserve">samtliga på arbetsplatsen och som ska fungera som </w:t>
      </w:r>
      <w:r w:rsidR="000C26B1">
        <w:rPr>
          <w:sz w:val="28"/>
          <w:szCs w:val="28"/>
        </w:rPr>
        <w:t>ett styrdokument för arbetet i verksamheten. Arbetsmiljöpolicyn beskrivs mer utförligt nedan.</w:t>
      </w:r>
    </w:p>
    <w:p w14:paraId="500C05A9" w14:textId="5A9232FF" w:rsidR="00D55A24" w:rsidRPr="00613B99" w:rsidRDefault="00CE75E7">
      <w:pPr>
        <w:rPr>
          <w:sz w:val="28"/>
          <w:szCs w:val="28"/>
          <w:u w:val="single"/>
        </w:rPr>
      </w:pPr>
      <w:r w:rsidRPr="00613B99">
        <w:rPr>
          <w:sz w:val="28"/>
          <w:szCs w:val="28"/>
          <w:u w:val="single"/>
        </w:rPr>
        <w:t>Riskbedömningar:</w:t>
      </w:r>
    </w:p>
    <w:p w14:paraId="35BB41D2" w14:textId="19324A93" w:rsidR="00CE75E7" w:rsidRDefault="00CE75E7">
      <w:pPr>
        <w:rPr>
          <w:sz w:val="28"/>
          <w:szCs w:val="28"/>
        </w:rPr>
      </w:pPr>
      <w:r>
        <w:rPr>
          <w:sz w:val="28"/>
          <w:szCs w:val="28"/>
        </w:rPr>
        <w:t xml:space="preserve">Riskbedömningar av olika moment i verksamheten ska göras regelbundet, minst </w:t>
      </w:r>
      <w:r w:rsidR="0061406D">
        <w:rPr>
          <w:sz w:val="28"/>
          <w:szCs w:val="28"/>
        </w:rPr>
        <w:t xml:space="preserve">en gång i halvåret. </w:t>
      </w:r>
      <w:r w:rsidR="007D5690">
        <w:rPr>
          <w:sz w:val="28"/>
          <w:szCs w:val="28"/>
        </w:rPr>
        <w:t xml:space="preserve">Riskbedömningar görs av ansvarig för arbetsmiljön och ska </w:t>
      </w:r>
      <w:r w:rsidR="00B71652">
        <w:rPr>
          <w:sz w:val="28"/>
          <w:szCs w:val="28"/>
        </w:rPr>
        <w:t>innefatta:</w:t>
      </w:r>
    </w:p>
    <w:p w14:paraId="186618E3" w14:textId="1FD57ABC" w:rsidR="00D667CB" w:rsidRDefault="00A574EF" w:rsidP="00D667CB">
      <w:pPr>
        <w:pStyle w:val="Liststycke"/>
        <w:numPr>
          <w:ilvl w:val="0"/>
          <w:numId w:val="1"/>
        </w:numPr>
        <w:rPr>
          <w:sz w:val="28"/>
          <w:szCs w:val="28"/>
        </w:rPr>
      </w:pPr>
      <w:r w:rsidRPr="00D667CB">
        <w:rPr>
          <w:sz w:val="28"/>
          <w:szCs w:val="28"/>
        </w:rPr>
        <w:t>Lastning/lossning av lastbilar</w:t>
      </w:r>
    </w:p>
    <w:p w14:paraId="46B7CE96" w14:textId="77777777" w:rsidR="00D667CB" w:rsidRDefault="00A574EF" w:rsidP="00D667CB">
      <w:pPr>
        <w:pStyle w:val="Liststycke"/>
        <w:numPr>
          <w:ilvl w:val="0"/>
          <w:numId w:val="1"/>
        </w:numPr>
        <w:rPr>
          <w:sz w:val="28"/>
          <w:szCs w:val="28"/>
        </w:rPr>
      </w:pPr>
      <w:r w:rsidRPr="00D667CB">
        <w:rPr>
          <w:sz w:val="28"/>
          <w:szCs w:val="28"/>
        </w:rPr>
        <w:t>Omlastning på terminalen</w:t>
      </w:r>
    </w:p>
    <w:p w14:paraId="766D10BF" w14:textId="4F6A0891" w:rsidR="00D667CB" w:rsidRDefault="00145FA8" w:rsidP="00D667CB">
      <w:pPr>
        <w:pStyle w:val="Liststycke"/>
        <w:numPr>
          <w:ilvl w:val="0"/>
          <w:numId w:val="1"/>
        </w:numPr>
        <w:rPr>
          <w:sz w:val="28"/>
          <w:szCs w:val="28"/>
        </w:rPr>
      </w:pPr>
      <w:r w:rsidRPr="00D667CB">
        <w:rPr>
          <w:sz w:val="28"/>
          <w:szCs w:val="28"/>
        </w:rPr>
        <w:t>Parkering av fordon på gården/garaget</w:t>
      </w:r>
    </w:p>
    <w:p w14:paraId="31D791DF" w14:textId="3031181D" w:rsidR="00C30C8B" w:rsidRDefault="00C30C8B" w:rsidP="00D667CB">
      <w:pPr>
        <w:pStyle w:val="Liststycke"/>
        <w:numPr>
          <w:ilvl w:val="0"/>
          <w:numId w:val="1"/>
        </w:numPr>
        <w:rPr>
          <w:sz w:val="28"/>
          <w:szCs w:val="28"/>
        </w:rPr>
      </w:pPr>
      <w:r>
        <w:rPr>
          <w:sz w:val="28"/>
          <w:szCs w:val="28"/>
        </w:rPr>
        <w:t>Psykosocial arbetsmiljö</w:t>
      </w:r>
    </w:p>
    <w:p w14:paraId="6676EAE6" w14:textId="456638B1" w:rsidR="00C30C8B" w:rsidRDefault="00C30C8B" w:rsidP="00C30C8B">
      <w:pPr>
        <w:rPr>
          <w:sz w:val="28"/>
          <w:szCs w:val="28"/>
        </w:rPr>
      </w:pPr>
      <w:r>
        <w:rPr>
          <w:sz w:val="28"/>
          <w:szCs w:val="28"/>
        </w:rPr>
        <w:t>Se blankett för riskbedömningar</w:t>
      </w:r>
    </w:p>
    <w:p w14:paraId="7D99B2F7" w14:textId="203E141D" w:rsidR="00EA3891" w:rsidRDefault="00EA3891" w:rsidP="00C30C8B">
      <w:pPr>
        <w:rPr>
          <w:sz w:val="28"/>
          <w:szCs w:val="28"/>
        </w:rPr>
      </w:pPr>
      <w:r>
        <w:rPr>
          <w:sz w:val="28"/>
          <w:szCs w:val="28"/>
        </w:rPr>
        <w:t>Kända risker som kommer fram vid bedömningar förmedlas till samtliga medarbetare, framförallt vid nyanställning.</w:t>
      </w:r>
    </w:p>
    <w:p w14:paraId="0896722F" w14:textId="1BEA66EE" w:rsidR="00EA3891" w:rsidRDefault="00EA3891" w:rsidP="00C30C8B">
      <w:pPr>
        <w:rPr>
          <w:sz w:val="28"/>
          <w:szCs w:val="28"/>
        </w:rPr>
      </w:pPr>
    </w:p>
    <w:p w14:paraId="0A7B7FDF" w14:textId="3EE54576" w:rsidR="00613B99" w:rsidRDefault="00613B99" w:rsidP="00C30C8B">
      <w:pPr>
        <w:rPr>
          <w:sz w:val="28"/>
          <w:szCs w:val="28"/>
        </w:rPr>
      </w:pPr>
    </w:p>
    <w:p w14:paraId="7CA68339" w14:textId="1B052D3A" w:rsidR="00613B99" w:rsidRDefault="00613B99" w:rsidP="00C30C8B">
      <w:pPr>
        <w:rPr>
          <w:sz w:val="28"/>
          <w:szCs w:val="28"/>
        </w:rPr>
      </w:pPr>
    </w:p>
    <w:p w14:paraId="6E4F5486" w14:textId="77777777" w:rsidR="00613B99" w:rsidRDefault="00613B99" w:rsidP="00287079">
      <w:pPr>
        <w:pStyle w:val="Rubrik2"/>
        <w:rPr>
          <w:sz w:val="40"/>
          <w:szCs w:val="40"/>
          <w:u w:val="single"/>
        </w:rPr>
      </w:pPr>
      <w:r>
        <w:rPr>
          <w:sz w:val="40"/>
          <w:szCs w:val="40"/>
          <w:u w:val="single"/>
        </w:rPr>
        <w:lastRenderedPageBreak/>
        <w:t xml:space="preserve">Arbetsmiljöpolicy för </w:t>
      </w:r>
      <w:proofErr w:type="spellStart"/>
      <w:r>
        <w:rPr>
          <w:sz w:val="40"/>
          <w:szCs w:val="40"/>
          <w:u w:val="single"/>
        </w:rPr>
        <w:t>Br</w:t>
      </w:r>
      <w:proofErr w:type="spellEnd"/>
      <w:r>
        <w:rPr>
          <w:sz w:val="40"/>
          <w:szCs w:val="40"/>
          <w:u w:val="single"/>
        </w:rPr>
        <w:t xml:space="preserve"> Ebbessons Åkeri AB</w:t>
      </w:r>
    </w:p>
    <w:p w14:paraId="40C631F4" w14:textId="77777777" w:rsidR="00613B99" w:rsidRDefault="00613B99" w:rsidP="00613B99">
      <w:pPr>
        <w:rPr>
          <w:sz w:val="36"/>
          <w:szCs w:val="36"/>
        </w:rPr>
      </w:pPr>
      <w:r>
        <w:rPr>
          <w:sz w:val="36"/>
          <w:szCs w:val="36"/>
        </w:rPr>
        <w:t>Åtgärder för att minska arbetsskador och ohälsa, undvika olyckshändelser samt ge en meningsfull och positiv arbetsmiljö.</w:t>
      </w:r>
    </w:p>
    <w:p w14:paraId="0E772BF2" w14:textId="77777777" w:rsidR="00613B99" w:rsidRDefault="00613B99" w:rsidP="00613B99">
      <w:pPr>
        <w:rPr>
          <w:sz w:val="36"/>
          <w:szCs w:val="36"/>
        </w:rPr>
      </w:pPr>
    </w:p>
    <w:p w14:paraId="0CDD8F46" w14:textId="77777777" w:rsidR="00613B99" w:rsidRDefault="00613B99" w:rsidP="00613B99">
      <w:pPr>
        <w:rPr>
          <w:sz w:val="36"/>
          <w:szCs w:val="36"/>
          <w:u w:val="single"/>
        </w:rPr>
      </w:pPr>
      <w:r>
        <w:rPr>
          <w:sz w:val="36"/>
          <w:szCs w:val="36"/>
          <w:u w:val="single"/>
        </w:rPr>
        <w:t>Minska arbetsskador och ohälsa:</w:t>
      </w:r>
    </w:p>
    <w:p w14:paraId="2ACE384A" w14:textId="77777777" w:rsidR="00613B99" w:rsidRDefault="00613B99" w:rsidP="00613B99">
      <w:pPr>
        <w:rPr>
          <w:sz w:val="36"/>
          <w:szCs w:val="36"/>
        </w:rPr>
      </w:pPr>
    </w:p>
    <w:p w14:paraId="445229C7" w14:textId="77777777" w:rsidR="00613B99" w:rsidRDefault="00613B99" w:rsidP="00613B99">
      <w:pPr>
        <w:rPr>
          <w:sz w:val="36"/>
          <w:szCs w:val="36"/>
        </w:rPr>
      </w:pPr>
      <w:r>
        <w:rPr>
          <w:sz w:val="36"/>
          <w:szCs w:val="36"/>
        </w:rPr>
        <w:t xml:space="preserve">Att tillhandahålla lättarbetade och moderna lastfordon med </w:t>
      </w:r>
      <w:proofErr w:type="gramStart"/>
      <w:r>
        <w:rPr>
          <w:sz w:val="36"/>
          <w:szCs w:val="36"/>
        </w:rPr>
        <w:t>t.ex.</w:t>
      </w:r>
      <w:proofErr w:type="gramEnd"/>
      <w:r>
        <w:rPr>
          <w:sz w:val="36"/>
          <w:szCs w:val="36"/>
        </w:rPr>
        <w:t xml:space="preserve"> öppningsbara skåpsidor, bakgavelliftar, stegar för upp- och nedgångar på lastflaket. Moderna och rymliga hytter (med betoning på förarstol och förarkomfort), hyttvärmare med tidsinställning </w:t>
      </w:r>
      <w:proofErr w:type="gramStart"/>
      <w:r>
        <w:rPr>
          <w:sz w:val="36"/>
          <w:szCs w:val="36"/>
        </w:rPr>
        <w:t>etc.</w:t>
      </w:r>
      <w:proofErr w:type="gramEnd"/>
      <w:r>
        <w:rPr>
          <w:sz w:val="36"/>
          <w:szCs w:val="36"/>
        </w:rPr>
        <w:t xml:space="preserve"> </w:t>
      </w:r>
    </w:p>
    <w:p w14:paraId="1F19884B" w14:textId="77777777" w:rsidR="00613B99" w:rsidRDefault="00613B99" w:rsidP="00613B99">
      <w:pPr>
        <w:rPr>
          <w:sz w:val="36"/>
          <w:szCs w:val="36"/>
        </w:rPr>
      </w:pPr>
    </w:p>
    <w:p w14:paraId="318E6649" w14:textId="77777777" w:rsidR="00613B99" w:rsidRDefault="00613B99" w:rsidP="00613B99">
      <w:pPr>
        <w:rPr>
          <w:sz w:val="36"/>
          <w:szCs w:val="36"/>
          <w:u w:val="single"/>
        </w:rPr>
      </w:pPr>
      <w:r>
        <w:rPr>
          <w:sz w:val="36"/>
          <w:szCs w:val="36"/>
          <w:u w:val="single"/>
        </w:rPr>
        <w:t>Att undvika olyckshändelser:</w:t>
      </w:r>
    </w:p>
    <w:p w14:paraId="3EF6CB79" w14:textId="77777777" w:rsidR="00613B99" w:rsidRDefault="00613B99" w:rsidP="00613B99">
      <w:pPr>
        <w:rPr>
          <w:sz w:val="36"/>
          <w:szCs w:val="36"/>
        </w:rPr>
      </w:pPr>
    </w:p>
    <w:p w14:paraId="1CE8A957" w14:textId="77777777" w:rsidR="00613B99" w:rsidRDefault="00613B99" w:rsidP="00613B99">
      <w:pPr>
        <w:rPr>
          <w:sz w:val="36"/>
          <w:szCs w:val="36"/>
        </w:rPr>
      </w:pPr>
      <w:r>
        <w:rPr>
          <w:sz w:val="36"/>
          <w:szCs w:val="36"/>
        </w:rPr>
        <w:t>Att försöka undvika enskilt arbete, speciellt under arbete med truck. Att alltid följa vår trafikpolicy med bilbälte, fartgränser med mera (se vår trafiksäkerhetspolicy). Att använda de hjälpmedel och utrustning som finns i bilarna. Att noga följa utvecklingen och vid behov installera ny teknik.</w:t>
      </w:r>
    </w:p>
    <w:p w14:paraId="24B533EB" w14:textId="77777777" w:rsidR="00613B99" w:rsidRDefault="00613B99" w:rsidP="00613B99">
      <w:pPr>
        <w:rPr>
          <w:sz w:val="36"/>
          <w:szCs w:val="36"/>
        </w:rPr>
      </w:pPr>
    </w:p>
    <w:p w14:paraId="56957285" w14:textId="77777777" w:rsidR="00613B99" w:rsidRDefault="00613B99" w:rsidP="00613B99">
      <w:pPr>
        <w:rPr>
          <w:sz w:val="36"/>
          <w:szCs w:val="36"/>
          <w:u w:val="single"/>
        </w:rPr>
      </w:pPr>
      <w:r>
        <w:rPr>
          <w:sz w:val="36"/>
          <w:szCs w:val="36"/>
          <w:u w:val="single"/>
        </w:rPr>
        <w:t>Meningsfull och positiv arbetsmiljö:</w:t>
      </w:r>
    </w:p>
    <w:p w14:paraId="3E574257" w14:textId="77777777" w:rsidR="00613B99" w:rsidRDefault="00613B99" w:rsidP="00613B99">
      <w:pPr>
        <w:rPr>
          <w:sz w:val="36"/>
          <w:szCs w:val="36"/>
        </w:rPr>
      </w:pPr>
    </w:p>
    <w:p w14:paraId="2C6C222E" w14:textId="774DF6AE" w:rsidR="00613B99" w:rsidRDefault="00613B99" w:rsidP="00613B99">
      <w:pPr>
        <w:rPr>
          <w:sz w:val="36"/>
          <w:szCs w:val="36"/>
        </w:rPr>
      </w:pPr>
      <w:r>
        <w:rPr>
          <w:sz w:val="36"/>
          <w:szCs w:val="36"/>
        </w:rPr>
        <w:t xml:space="preserve">Någon i företagsledningen skall alltid finnas tillgänglig för en dialog om eventuella problem dyker upp, personliga eller </w:t>
      </w:r>
      <w:r>
        <w:rPr>
          <w:sz w:val="36"/>
          <w:szCs w:val="36"/>
        </w:rPr>
        <w:lastRenderedPageBreak/>
        <w:t>arbetsrelaterade. Arbetsschema skall finnas för varje anställd så långt det är möjligt, så att denne lättare kan planera sin fritid. Vidare ska varje anställd så långt det är möjligt köra ”sin” bil vilket underlättar och skapar både en trygghet och en positiv arbetssituation. Fordonen skall vid nyanskaffande utrustats i samråd med de anställda.</w:t>
      </w:r>
    </w:p>
    <w:p w14:paraId="04FD5AA4" w14:textId="77777777" w:rsidR="00287079" w:rsidRDefault="00287079" w:rsidP="00613B99">
      <w:pPr>
        <w:rPr>
          <w:sz w:val="36"/>
          <w:szCs w:val="36"/>
        </w:rPr>
      </w:pPr>
    </w:p>
    <w:tbl>
      <w:tblPr>
        <w:tblStyle w:val="Tabellrutnt"/>
        <w:tblW w:w="5000" w:type="pct"/>
        <w:tblInd w:w="-328"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1E0" w:firstRow="1" w:lastRow="1" w:firstColumn="1" w:lastColumn="1" w:noHBand="0" w:noVBand="0"/>
      </w:tblPr>
      <w:tblGrid>
        <w:gridCol w:w="9072"/>
      </w:tblGrid>
      <w:tr w:rsidR="006B08FB" w14:paraId="15C05B91" w14:textId="77777777" w:rsidTr="008D7903">
        <w:trPr>
          <w:trHeight w:val="726"/>
        </w:trPr>
        <w:tc>
          <w:tcPr>
            <w:tcW w:w="5000" w:type="pct"/>
          </w:tcPr>
          <w:p w14:paraId="299D61DE" w14:textId="36E0FD8D" w:rsidR="006B08FB" w:rsidRPr="00B61BB6" w:rsidRDefault="00E75325" w:rsidP="008D7903">
            <w:pPr>
              <w:spacing w:before="120"/>
              <w:rPr>
                <w:rFonts w:ascii="Arial" w:hAnsi="Arial" w:cs="Arial"/>
                <w:sz w:val="32"/>
                <w:szCs w:val="32"/>
                <w:u w:val="single"/>
              </w:rPr>
            </w:pPr>
            <w:r w:rsidRPr="00B61BB6">
              <w:rPr>
                <w:rFonts w:ascii="Arial" w:hAnsi="Arial" w:cs="Arial"/>
                <w:sz w:val="32"/>
                <w:szCs w:val="32"/>
                <w:u w:val="single"/>
              </w:rPr>
              <w:t>Handlingsplan för</w:t>
            </w:r>
            <w:r w:rsidR="00B61BB6" w:rsidRPr="00B61BB6">
              <w:rPr>
                <w:rFonts w:ascii="Arial" w:hAnsi="Arial" w:cs="Arial"/>
                <w:sz w:val="32"/>
                <w:szCs w:val="32"/>
                <w:u w:val="single"/>
              </w:rPr>
              <w:t xml:space="preserve"> arbetsmiljöarbetet</w:t>
            </w:r>
          </w:p>
        </w:tc>
      </w:tr>
    </w:tbl>
    <w:tbl>
      <w:tblPr>
        <w:tblStyle w:val="Professionelltabell"/>
        <w:tblW w:w="9663" w:type="dxa"/>
        <w:tblInd w:w="-601" w:type="dxa"/>
        <w:tblLayout w:type="fixed"/>
        <w:tblLook w:val="0020" w:firstRow="1" w:lastRow="0" w:firstColumn="0" w:lastColumn="0" w:noHBand="0" w:noVBand="0"/>
      </w:tblPr>
      <w:tblGrid>
        <w:gridCol w:w="1090"/>
        <w:gridCol w:w="1522"/>
        <w:gridCol w:w="816"/>
        <w:gridCol w:w="1089"/>
        <w:gridCol w:w="1063"/>
        <w:gridCol w:w="1089"/>
        <w:gridCol w:w="817"/>
        <w:gridCol w:w="952"/>
        <w:gridCol w:w="1225"/>
      </w:tblGrid>
      <w:tr w:rsidR="00B61BB6" w:rsidRPr="00E075FC" w14:paraId="0E95399E" w14:textId="77777777" w:rsidTr="00FC7542">
        <w:trPr>
          <w:cnfStyle w:val="100000000000" w:firstRow="1" w:lastRow="0" w:firstColumn="0" w:lastColumn="0" w:oddVBand="0" w:evenVBand="0" w:oddHBand="0" w:evenHBand="0" w:firstRowFirstColumn="0" w:firstRowLastColumn="0" w:lastRowFirstColumn="0" w:lastRowLastColumn="0"/>
          <w:trHeight w:val="871"/>
        </w:trPr>
        <w:tc>
          <w:tcPr>
            <w:tcW w:w="1090" w:type="dxa"/>
            <w:shd w:val="solid" w:color="C0C0C0" w:fill="FFFFFF"/>
          </w:tcPr>
          <w:p w14:paraId="0F857BF5" w14:textId="6B5BD642" w:rsidR="006B08FB" w:rsidRPr="006B6711" w:rsidRDefault="006B08FB" w:rsidP="008D7903">
            <w:pPr>
              <w:spacing w:before="120"/>
              <w:ind w:right="-108"/>
              <w:rPr>
                <w:rFonts w:cs="Arial"/>
                <w:b w:val="0"/>
                <w:szCs w:val="18"/>
              </w:rPr>
            </w:pPr>
            <w:proofErr w:type="gramStart"/>
            <w:r w:rsidRPr="006B6711">
              <w:rPr>
                <w:rFonts w:cs="Arial"/>
                <w:b w:val="0"/>
                <w:szCs w:val="18"/>
              </w:rPr>
              <w:t>Arbetsmiljö strategi</w:t>
            </w:r>
            <w:proofErr w:type="gramEnd"/>
          </w:p>
        </w:tc>
        <w:tc>
          <w:tcPr>
            <w:tcW w:w="1522" w:type="dxa"/>
            <w:shd w:val="solid" w:color="C0C0C0" w:fill="FFFFFF"/>
          </w:tcPr>
          <w:p w14:paraId="0EF114EA" w14:textId="584D439C" w:rsidR="006B08FB" w:rsidRPr="006B6711" w:rsidRDefault="006B08FB" w:rsidP="008D7903">
            <w:pPr>
              <w:spacing w:before="120"/>
              <w:rPr>
                <w:rFonts w:cs="Arial"/>
                <w:b w:val="0"/>
                <w:szCs w:val="18"/>
              </w:rPr>
            </w:pPr>
            <w:r w:rsidRPr="006B6711">
              <w:rPr>
                <w:rFonts w:cs="Arial"/>
                <w:b w:val="0"/>
                <w:szCs w:val="18"/>
              </w:rPr>
              <w:t>Utvecklingsområde</w:t>
            </w:r>
          </w:p>
        </w:tc>
        <w:tc>
          <w:tcPr>
            <w:tcW w:w="1905" w:type="dxa"/>
            <w:gridSpan w:val="2"/>
            <w:shd w:val="solid" w:color="C0C0C0" w:fill="FFFFFF"/>
          </w:tcPr>
          <w:p w14:paraId="51BBFD3E" w14:textId="02639865" w:rsidR="006B08FB" w:rsidRPr="006B6711" w:rsidRDefault="006B08FB" w:rsidP="008D7903">
            <w:pPr>
              <w:spacing w:before="120"/>
              <w:ind w:right="-108"/>
              <w:rPr>
                <w:rFonts w:cs="Arial"/>
                <w:b w:val="0"/>
                <w:szCs w:val="18"/>
              </w:rPr>
            </w:pPr>
            <w:r w:rsidRPr="006B6711">
              <w:rPr>
                <w:rFonts w:cs="Arial"/>
                <w:b w:val="0"/>
                <w:szCs w:val="18"/>
              </w:rPr>
              <w:t>Konsekvensbedömning</w:t>
            </w:r>
          </w:p>
          <w:p w14:paraId="33EF221E" w14:textId="09F67721" w:rsidR="006B08FB" w:rsidRPr="006B6711" w:rsidRDefault="006B08FB" w:rsidP="008D7903">
            <w:pPr>
              <w:ind w:right="-108"/>
              <w:rPr>
                <w:rFonts w:cs="Arial"/>
                <w:b w:val="0"/>
                <w:szCs w:val="18"/>
              </w:rPr>
            </w:pPr>
            <w:r>
              <w:rPr>
                <w:rFonts w:cs="Arial"/>
                <w:b w:val="0"/>
                <w:szCs w:val="18"/>
              </w:rPr>
              <w:t xml:space="preserve">  Allvarlig      </w:t>
            </w:r>
            <w:r w:rsidRPr="006B6711">
              <w:rPr>
                <w:rFonts w:cs="Arial"/>
                <w:b w:val="0"/>
                <w:szCs w:val="18"/>
              </w:rPr>
              <w:t>Inte</w:t>
            </w:r>
            <w:r w:rsidR="00AA670B">
              <w:rPr>
                <w:rFonts w:cs="Arial"/>
                <w:b w:val="0"/>
                <w:szCs w:val="18"/>
              </w:rPr>
              <w:t xml:space="preserve">             </w:t>
            </w:r>
            <w:r w:rsidRPr="006B6711">
              <w:rPr>
                <w:rFonts w:cs="Arial"/>
                <w:b w:val="0"/>
                <w:szCs w:val="18"/>
              </w:rPr>
              <w:t xml:space="preserve"> </w:t>
            </w:r>
            <w:r w:rsidR="00AA670B">
              <w:rPr>
                <w:rFonts w:cs="Arial"/>
                <w:b w:val="0"/>
                <w:szCs w:val="18"/>
              </w:rPr>
              <w:t xml:space="preserve">             </w:t>
            </w:r>
            <w:r w:rsidRPr="006B6711">
              <w:rPr>
                <w:rFonts w:cs="Arial"/>
                <w:b w:val="0"/>
                <w:szCs w:val="18"/>
              </w:rPr>
              <w:t xml:space="preserve">allvarlig </w:t>
            </w:r>
          </w:p>
        </w:tc>
        <w:tc>
          <w:tcPr>
            <w:tcW w:w="1063" w:type="dxa"/>
            <w:shd w:val="solid" w:color="C0C0C0" w:fill="FFFFFF"/>
          </w:tcPr>
          <w:p w14:paraId="77FCB6A1" w14:textId="3ABBA5F5" w:rsidR="006B08FB" w:rsidRPr="006B6711" w:rsidRDefault="006B08FB" w:rsidP="008D7903">
            <w:pPr>
              <w:spacing w:before="120"/>
              <w:rPr>
                <w:rFonts w:cs="Arial"/>
                <w:b w:val="0"/>
                <w:szCs w:val="18"/>
              </w:rPr>
            </w:pPr>
            <w:r w:rsidRPr="006B6711">
              <w:rPr>
                <w:rFonts w:cs="Arial"/>
                <w:b w:val="0"/>
                <w:szCs w:val="18"/>
              </w:rPr>
              <w:t>Beskriv</w:t>
            </w:r>
            <w:r w:rsidR="00024672">
              <w:rPr>
                <w:rFonts w:cs="Arial"/>
                <w:b w:val="0"/>
                <w:szCs w:val="18"/>
              </w:rPr>
              <w:t xml:space="preserve"> </w:t>
            </w:r>
            <w:r w:rsidRPr="006B6711">
              <w:rPr>
                <w:rFonts w:cs="Arial"/>
                <w:b w:val="0"/>
                <w:szCs w:val="18"/>
              </w:rPr>
              <w:t>åtgärd</w:t>
            </w:r>
          </w:p>
        </w:tc>
        <w:tc>
          <w:tcPr>
            <w:tcW w:w="1089" w:type="dxa"/>
            <w:shd w:val="solid" w:color="C0C0C0" w:fill="FFFFFF"/>
          </w:tcPr>
          <w:p w14:paraId="34F7479C" w14:textId="77777777" w:rsidR="006B08FB" w:rsidRPr="006B6711" w:rsidRDefault="006B08FB" w:rsidP="008D7903">
            <w:pPr>
              <w:spacing w:before="120"/>
              <w:rPr>
                <w:rFonts w:cs="Arial"/>
                <w:b w:val="0"/>
                <w:szCs w:val="18"/>
              </w:rPr>
            </w:pPr>
            <w:r w:rsidRPr="006B6711">
              <w:rPr>
                <w:rFonts w:cs="Arial"/>
                <w:b w:val="0"/>
                <w:szCs w:val="18"/>
              </w:rPr>
              <w:t>Ansvarig</w:t>
            </w:r>
          </w:p>
        </w:tc>
        <w:tc>
          <w:tcPr>
            <w:tcW w:w="817" w:type="dxa"/>
            <w:shd w:val="solid" w:color="C0C0C0" w:fill="FFFFFF"/>
          </w:tcPr>
          <w:p w14:paraId="0D82EEBC" w14:textId="69E33C1C" w:rsidR="006B08FB" w:rsidRPr="006B6711" w:rsidRDefault="006B08FB" w:rsidP="008D7903">
            <w:pPr>
              <w:spacing w:before="120"/>
              <w:rPr>
                <w:rFonts w:cs="Arial"/>
                <w:b w:val="0"/>
                <w:szCs w:val="18"/>
              </w:rPr>
            </w:pPr>
            <w:r w:rsidRPr="006B6711">
              <w:rPr>
                <w:rFonts w:cs="Arial"/>
                <w:b w:val="0"/>
                <w:szCs w:val="18"/>
              </w:rPr>
              <w:t>Resurser</w:t>
            </w:r>
          </w:p>
        </w:tc>
        <w:tc>
          <w:tcPr>
            <w:tcW w:w="952" w:type="dxa"/>
            <w:shd w:val="solid" w:color="C0C0C0" w:fill="FFFFFF"/>
          </w:tcPr>
          <w:p w14:paraId="730D6B93" w14:textId="77777777" w:rsidR="006B08FB" w:rsidRPr="006B6711" w:rsidRDefault="006B08FB" w:rsidP="008D7903">
            <w:pPr>
              <w:spacing w:before="120"/>
              <w:rPr>
                <w:rFonts w:cs="Arial"/>
                <w:b w:val="0"/>
                <w:szCs w:val="18"/>
              </w:rPr>
            </w:pPr>
            <w:r w:rsidRPr="006B6711">
              <w:rPr>
                <w:rFonts w:cs="Arial"/>
                <w:b w:val="0"/>
                <w:szCs w:val="18"/>
              </w:rPr>
              <w:t>Klart</w:t>
            </w:r>
          </w:p>
          <w:p w14:paraId="64E4D8F7" w14:textId="77777777" w:rsidR="006B08FB" w:rsidRPr="006B6711" w:rsidRDefault="006B08FB" w:rsidP="008D7903">
            <w:pPr>
              <w:rPr>
                <w:rFonts w:cs="Arial"/>
                <w:b w:val="0"/>
                <w:szCs w:val="18"/>
              </w:rPr>
            </w:pPr>
            <w:r w:rsidRPr="006B6711">
              <w:rPr>
                <w:rFonts w:cs="Arial"/>
                <w:b w:val="0"/>
                <w:szCs w:val="18"/>
              </w:rPr>
              <w:t>Datum</w:t>
            </w:r>
          </w:p>
        </w:tc>
        <w:tc>
          <w:tcPr>
            <w:tcW w:w="1225" w:type="dxa"/>
            <w:shd w:val="solid" w:color="C0C0C0" w:fill="FFFFFF"/>
          </w:tcPr>
          <w:p w14:paraId="3A647198" w14:textId="77777777" w:rsidR="006B08FB" w:rsidRPr="006B6711" w:rsidRDefault="006B08FB" w:rsidP="008D7903">
            <w:pPr>
              <w:spacing w:before="120"/>
              <w:rPr>
                <w:rFonts w:cs="Arial"/>
                <w:b w:val="0"/>
                <w:szCs w:val="18"/>
              </w:rPr>
            </w:pPr>
            <w:r w:rsidRPr="006B6711">
              <w:rPr>
                <w:rFonts w:cs="Arial"/>
                <w:b w:val="0"/>
                <w:szCs w:val="18"/>
              </w:rPr>
              <w:t>Effekt</w:t>
            </w:r>
          </w:p>
          <w:p w14:paraId="3A66A358" w14:textId="0E69866F" w:rsidR="006B08FB" w:rsidRPr="006B6711" w:rsidRDefault="006B08FB" w:rsidP="008D7903">
            <w:pPr>
              <w:rPr>
                <w:rFonts w:cs="Arial"/>
                <w:b w:val="0"/>
                <w:szCs w:val="18"/>
              </w:rPr>
            </w:pPr>
            <w:r w:rsidRPr="006B6711">
              <w:rPr>
                <w:rFonts w:cs="Arial"/>
                <w:b w:val="0"/>
                <w:szCs w:val="18"/>
              </w:rPr>
              <w:t>uppföljning</w:t>
            </w:r>
          </w:p>
        </w:tc>
      </w:tr>
      <w:tr w:rsidR="00FC7542" w:rsidRPr="00D91577" w14:paraId="398A2A67" w14:textId="77777777" w:rsidTr="00FC7542">
        <w:trPr>
          <w:cantSplit/>
          <w:trHeight w:val="862"/>
        </w:trPr>
        <w:tc>
          <w:tcPr>
            <w:tcW w:w="1090" w:type="dxa"/>
          </w:tcPr>
          <w:p w14:paraId="0DD0234A" w14:textId="77777777" w:rsidR="006B08FB" w:rsidRDefault="006B08FB" w:rsidP="008D7903">
            <w:pPr>
              <w:rPr>
                <w:rFonts w:cs="Arial"/>
              </w:rPr>
            </w:pPr>
          </w:p>
        </w:tc>
        <w:tc>
          <w:tcPr>
            <w:tcW w:w="1522" w:type="dxa"/>
          </w:tcPr>
          <w:p w14:paraId="04E68CE7" w14:textId="77777777" w:rsidR="006B08FB" w:rsidRPr="00D91577" w:rsidRDefault="006B08FB" w:rsidP="008D7903">
            <w:pPr>
              <w:spacing w:before="120"/>
              <w:rPr>
                <w:rFonts w:cs="Arial"/>
              </w:rPr>
            </w:pPr>
          </w:p>
        </w:tc>
        <w:tc>
          <w:tcPr>
            <w:tcW w:w="816" w:type="dxa"/>
          </w:tcPr>
          <w:p w14:paraId="1BB8242E" w14:textId="77777777" w:rsidR="006B08FB" w:rsidRPr="00D91577" w:rsidRDefault="006B08FB" w:rsidP="008D7903">
            <w:pPr>
              <w:spacing w:before="120"/>
              <w:rPr>
                <w:rFonts w:cs="Arial"/>
              </w:rPr>
            </w:pPr>
          </w:p>
        </w:tc>
        <w:tc>
          <w:tcPr>
            <w:tcW w:w="1089" w:type="dxa"/>
          </w:tcPr>
          <w:p w14:paraId="0250BD46" w14:textId="77777777" w:rsidR="006B08FB" w:rsidRPr="00D91577" w:rsidRDefault="006B08FB" w:rsidP="008D7903">
            <w:pPr>
              <w:spacing w:before="120"/>
              <w:rPr>
                <w:rFonts w:cs="Arial"/>
              </w:rPr>
            </w:pPr>
          </w:p>
        </w:tc>
        <w:tc>
          <w:tcPr>
            <w:tcW w:w="1063" w:type="dxa"/>
          </w:tcPr>
          <w:p w14:paraId="6E79E19F" w14:textId="77777777" w:rsidR="006B08FB" w:rsidRPr="00D91577" w:rsidRDefault="006B08FB" w:rsidP="008D7903">
            <w:pPr>
              <w:spacing w:before="120"/>
              <w:rPr>
                <w:rFonts w:cs="Arial"/>
              </w:rPr>
            </w:pPr>
          </w:p>
        </w:tc>
        <w:tc>
          <w:tcPr>
            <w:tcW w:w="1089" w:type="dxa"/>
          </w:tcPr>
          <w:p w14:paraId="54D17DA2" w14:textId="77777777" w:rsidR="006B08FB" w:rsidRPr="00D91577" w:rsidRDefault="006B08FB" w:rsidP="008D7903">
            <w:pPr>
              <w:spacing w:before="120"/>
              <w:rPr>
                <w:rFonts w:cs="Arial"/>
              </w:rPr>
            </w:pPr>
          </w:p>
        </w:tc>
        <w:tc>
          <w:tcPr>
            <w:tcW w:w="817" w:type="dxa"/>
          </w:tcPr>
          <w:p w14:paraId="03CD9DC6" w14:textId="77777777" w:rsidR="006B08FB" w:rsidRPr="00D91577" w:rsidRDefault="006B08FB" w:rsidP="008D7903">
            <w:pPr>
              <w:spacing w:before="120"/>
              <w:rPr>
                <w:rFonts w:cs="Arial"/>
              </w:rPr>
            </w:pPr>
          </w:p>
        </w:tc>
        <w:tc>
          <w:tcPr>
            <w:tcW w:w="952" w:type="dxa"/>
          </w:tcPr>
          <w:p w14:paraId="022A7A51" w14:textId="77777777" w:rsidR="006B08FB" w:rsidRPr="00D91577" w:rsidRDefault="006B08FB" w:rsidP="008D7903">
            <w:pPr>
              <w:spacing w:before="120"/>
              <w:rPr>
                <w:rFonts w:cs="Arial"/>
              </w:rPr>
            </w:pPr>
          </w:p>
        </w:tc>
        <w:tc>
          <w:tcPr>
            <w:tcW w:w="1225" w:type="dxa"/>
          </w:tcPr>
          <w:p w14:paraId="32A3308C" w14:textId="77777777" w:rsidR="006B08FB" w:rsidRPr="00D91577" w:rsidRDefault="006B08FB" w:rsidP="008D7903">
            <w:pPr>
              <w:spacing w:before="120"/>
              <w:rPr>
                <w:rFonts w:cs="Arial"/>
              </w:rPr>
            </w:pPr>
          </w:p>
        </w:tc>
      </w:tr>
      <w:tr w:rsidR="00FC7542" w:rsidRPr="00D91577" w14:paraId="5D0EF7D0" w14:textId="77777777" w:rsidTr="00FC7542">
        <w:trPr>
          <w:cantSplit/>
          <w:trHeight w:val="946"/>
        </w:trPr>
        <w:tc>
          <w:tcPr>
            <w:tcW w:w="1090" w:type="dxa"/>
          </w:tcPr>
          <w:p w14:paraId="04897D19" w14:textId="77777777" w:rsidR="006B08FB" w:rsidRDefault="006B08FB" w:rsidP="008D7903">
            <w:pPr>
              <w:rPr>
                <w:rFonts w:cs="Arial"/>
              </w:rPr>
            </w:pPr>
          </w:p>
        </w:tc>
        <w:tc>
          <w:tcPr>
            <w:tcW w:w="1522" w:type="dxa"/>
          </w:tcPr>
          <w:p w14:paraId="2990ED18" w14:textId="77777777" w:rsidR="006B08FB" w:rsidRPr="00D91577" w:rsidRDefault="006B08FB" w:rsidP="008D7903">
            <w:pPr>
              <w:spacing w:before="120"/>
              <w:rPr>
                <w:rFonts w:cs="Arial"/>
              </w:rPr>
            </w:pPr>
          </w:p>
        </w:tc>
        <w:tc>
          <w:tcPr>
            <w:tcW w:w="816" w:type="dxa"/>
          </w:tcPr>
          <w:p w14:paraId="37E4705C" w14:textId="77777777" w:rsidR="006B08FB" w:rsidRPr="00D91577" w:rsidRDefault="006B08FB" w:rsidP="008D7903">
            <w:pPr>
              <w:spacing w:before="120"/>
              <w:rPr>
                <w:rFonts w:cs="Arial"/>
              </w:rPr>
            </w:pPr>
          </w:p>
        </w:tc>
        <w:tc>
          <w:tcPr>
            <w:tcW w:w="1089" w:type="dxa"/>
          </w:tcPr>
          <w:p w14:paraId="51B74D91" w14:textId="77777777" w:rsidR="006B08FB" w:rsidRPr="00D91577" w:rsidRDefault="006B08FB" w:rsidP="008D7903">
            <w:pPr>
              <w:spacing w:before="120"/>
              <w:rPr>
                <w:rFonts w:cs="Arial"/>
              </w:rPr>
            </w:pPr>
          </w:p>
        </w:tc>
        <w:tc>
          <w:tcPr>
            <w:tcW w:w="1063" w:type="dxa"/>
          </w:tcPr>
          <w:p w14:paraId="00278CD8" w14:textId="77777777" w:rsidR="006B08FB" w:rsidRPr="00D91577" w:rsidRDefault="006B08FB" w:rsidP="008D7903">
            <w:pPr>
              <w:spacing w:before="120"/>
              <w:rPr>
                <w:rFonts w:cs="Arial"/>
              </w:rPr>
            </w:pPr>
          </w:p>
        </w:tc>
        <w:tc>
          <w:tcPr>
            <w:tcW w:w="1089" w:type="dxa"/>
          </w:tcPr>
          <w:p w14:paraId="0852F3CB" w14:textId="77777777" w:rsidR="006B08FB" w:rsidRPr="00D91577" w:rsidRDefault="006B08FB" w:rsidP="008D7903">
            <w:pPr>
              <w:spacing w:before="120"/>
              <w:rPr>
                <w:rFonts w:cs="Arial"/>
              </w:rPr>
            </w:pPr>
          </w:p>
        </w:tc>
        <w:tc>
          <w:tcPr>
            <w:tcW w:w="817" w:type="dxa"/>
          </w:tcPr>
          <w:p w14:paraId="715F647F" w14:textId="77777777" w:rsidR="006B08FB" w:rsidRPr="00D91577" w:rsidRDefault="006B08FB" w:rsidP="008D7903">
            <w:pPr>
              <w:spacing w:before="120"/>
              <w:rPr>
                <w:rFonts w:cs="Arial"/>
              </w:rPr>
            </w:pPr>
          </w:p>
        </w:tc>
        <w:tc>
          <w:tcPr>
            <w:tcW w:w="952" w:type="dxa"/>
          </w:tcPr>
          <w:p w14:paraId="739F5BBA" w14:textId="77777777" w:rsidR="006B08FB" w:rsidRPr="00D91577" w:rsidRDefault="006B08FB" w:rsidP="008D7903">
            <w:pPr>
              <w:spacing w:before="120"/>
              <w:rPr>
                <w:rFonts w:cs="Arial"/>
              </w:rPr>
            </w:pPr>
          </w:p>
        </w:tc>
        <w:tc>
          <w:tcPr>
            <w:tcW w:w="1225" w:type="dxa"/>
          </w:tcPr>
          <w:p w14:paraId="438EEC60" w14:textId="77777777" w:rsidR="006B08FB" w:rsidRPr="00D91577" w:rsidRDefault="006B08FB" w:rsidP="008D7903">
            <w:pPr>
              <w:spacing w:before="120"/>
              <w:rPr>
                <w:rFonts w:cs="Arial"/>
              </w:rPr>
            </w:pPr>
          </w:p>
        </w:tc>
      </w:tr>
      <w:tr w:rsidR="00FC7542" w:rsidRPr="00D91577" w14:paraId="651CD6D2" w14:textId="77777777" w:rsidTr="00FC7542">
        <w:trPr>
          <w:cantSplit/>
          <w:trHeight w:val="968"/>
        </w:trPr>
        <w:tc>
          <w:tcPr>
            <w:tcW w:w="1090" w:type="dxa"/>
          </w:tcPr>
          <w:p w14:paraId="2245D7B5" w14:textId="77777777" w:rsidR="006B08FB" w:rsidRDefault="006B08FB" w:rsidP="008D7903">
            <w:pPr>
              <w:rPr>
                <w:rFonts w:cs="Arial"/>
              </w:rPr>
            </w:pPr>
          </w:p>
        </w:tc>
        <w:tc>
          <w:tcPr>
            <w:tcW w:w="1522" w:type="dxa"/>
          </w:tcPr>
          <w:p w14:paraId="6C70F8DE" w14:textId="77777777" w:rsidR="006B08FB" w:rsidRPr="00D91577" w:rsidRDefault="006B08FB" w:rsidP="008D7903">
            <w:pPr>
              <w:spacing w:before="120"/>
              <w:rPr>
                <w:rFonts w:cs="Arial"/>
              </w:rPr>
            </w:pPr>
          </w:p>
        </w:tc>
        <w:tc>
          <w:tcPr>
            <w:tcW w:w="816" w:type="dxa"/>
          </w:tcPr>
          <w:p w14:paraId="45084CBE" w14:textId="77777777" w:rsidR="006B08FB" w:rsidRPr="00D91577" w:rsidRDefault="006B08FB" w:rsidP="008D7903">
            <w:pPr>
              <w:spacing w:before="120"/>
              <w:rPr>
                <w:rFonts w:cs="Arial"/>
              </w:rPr>
            </w:pPr>
          </w:p>
        </w:tc>
        <w:tc>
          <w:tcPr>
            <w:tcW w:w="1089" w:type="dxa"/>
          </w:tcPr>
          <w:p w14:paraId="6A74E4AC" w14:textId="77777777" w:rsidR="006B08FB" w:rsidRPr="00D91577" w:rsidRDefault="006B08FB" w:rsidP="008D7903">
            <w:pPr>
              <w:spacing w:before="120"/>
              <w:rPr>
                <w:rFonts w:cs="Arial"/>
              </w:rPr>
            </w:pPr>
          </w:p>
        </w:tc>
        <w:tc>
          <w:tcPr>
            <w:tcW w:w="1063" w:type="dxa"/>
          </w:tcPr>
          <w:p w14:paraId="2175778C" w14:textId="77777777" w:rsidR="006B08FB" w:rsidRPr="00D91577" w:rsidRDefault="006B08FB" w:rsidP="008D7903">
            <w:pPr>
              <w:spacing w:before="120"/>
              <w:rPr>
                <w:rFonts w:cs="Arial"/>
              </w:rPr>
            </w:pPr>
          </w:p>
        </w:tc>
        <w:tc>
          <w:tcPr>
            <w:tcW w:w="1089" w:type="dxa"/>
          </w:tcPr>
          <w:p w14:paraId="32780044" w14:textId="77777777" w:rsidR="006B08FB" w:rsidRPr="00D91577" w:rsidRDefault="006B08FB" w:rsidP="008D7903">
            <w:pPr>
              <w:spacing w:before="120"/>
              <w:rPr>
                <w:rFonts w:cs="Arial"/>
              </w:rPr>
            </w:pPr>
          </w:p>
        </w:tc>
        <w:tc>
          <w:tcPr>
            <w:tcW w:w="817" w:type="dxa"/>
          </w:tcPr>
          <w:p w14:paraId="40AEF257" w14:textId="77777777" w:rsidR="006B08FB" w:rsidRPr="00D91577" w:rsidRDefault="006B08FB" w:rsidP="008D7903">
            <w:pPr>
              <w:spacing w:before="120"/>
              <w:rPr>
                <w:rFonts w:cs="Arial"/>
              </w:rPr>
            </w:pPr>
          </w:p>
        </w:tc>
        <w:tc>
          <w:tcPr>
            <w:tcW w:w="952" w:type="dxa"/>
          </w:tcPr>
          <w:p w14:paraId="1293D1F1" w14:textId="77777777" w:rsidR="006B08FB" w:rsidRPr="00D91577" w:rsidRDefault="006B08FB" w:rsidP="008D7903">
            <w:pPr>
              <w:spacing w:before="120"/>
              <w:rPr>
                <w:rFonts w:cs="Arial"/>
              </w:rPr>
            </w:pPr>
          </w:p>
        </w:tc>
        <w:tc>
          <w:tcPr>
            <w:tcW w:w="1225" w:type="dxa"/>
          </w:tcPr>
          <w:p w14:paraId="4BE9D853" w14:textId="77777777" w:rsidR="006B08FB" w:rsidRPr="00D91577" w:rsidRDefault="006B08FB" w:rsidP="008D7903">
            <w:pPr>
              <w:spacing w:before="120"/>
              <w:rPr>
                <w:rFonts w:cs="Arial"/>
              </w:rPr>
            </w:pPr>
          </w:p>
        </w:tc>
      </w:tr>
      <w:tr w:rsidR="00FC7542" w:rsidRPr="00D91577" w14:paraId="6D4350C0" w14:textId="77777777" w:rsidTr="00FC7542">
        <w:trPr>
          <w:cantSplit/>
          <w:trHeight w:val="752"/>
        </w:trPr>
        <w:tc>
          <w:tcPr>
            <w:tcW w:w="1090" w:type="dxa"/>
          </w:tcPr>
          <w:p w14:paraId="1E6A1AFF" w14:textId="77777777" w:rsidR="006B08FB" w:rsidRDefault="006B08FB" w:rsidP="008D7903">
            <w:pPr>
              <w:rPr>
                <w:rFonts w:cs="Arial"/>
              </w:rPr>
            </w:pPr>
          </w:p>
          <w:p w14:paraId="679A60E8" w14:textId="77777777" w:rsidR="006B08FB" w:rsidRDefault="006B08FB" w:rsidP="008D7903">
            <w:pPr>
              <w:rPr>
                <w:rFonts w:cs="Arial"/>
              </w:rPr>
            </w:pPr>
          </w:p>
          <w:p w14:paraId="28848DEF" w14:textId="77777777" w:rsidR="006B08FB" w:rsidRDefault="006B08FB" w:rsidP="008D7903">
            <w:pPr>
              <w:rPr>
                <w:rFonts w:cs="Arial"/>
              </w:rPr>
            </w:pPr>
          </w:p>
          <w:p w14:paraId="0045C1A6" w14:textId="77777777" w:rsidR="006B08FB" w:rsidRDefault="006B08FB" w:rsidP="008D7903">
            <w:pPr>
              <w:rPr>
                <w:rFonts w:cs="Arial"/>
              </w:rPr>
            </w:pPr>
          </w:p>
          <w:p w14:paraId="0F22BD26" w14:textId="77777777" w:rsidR="006B08FB" w:rsidRDefault="006B08FB" w:rsidP="008D7903">
            <w:pPr>
              <w:rPr>
                <w:rFonts w:cs="Arial"/>
              </w:rPr>
            </w:pPr>
          </w:p>
        </w:tc>
        <w:tc>
          <w:tcPr>
            <w:tcW w:w="1522" w:type="dxa"/>
          </w:tcPr>
          <w:p w14:paraId="42BF04FE" w14:textId="77777777" w:rsidR="006B08FB" w:rsidRDefault="006B08FB" w:rsidP="008D7903">
            <w:pPr>
              <w:spacing w:before="120"/>
              <w:rPr>
                <w:rFonts w:cs="Arial"/>
              </w:rPr>
            </w:pPr>
          </w:p>
          <w:p w14:paraId="352F503C" w14:textId="77777777" w:rsidR="006B08FB" w:rsidRPr="00D91577" w:rsidRDefault="006B08FB" w:rsidP="008D7903">
            <w:pPr>
              <w:spacing w:before="120"/>
              <w:rPr>
                <w:rFonts w:cs="Arial"/>
              </w:rPr>
            </w:pPr>
          </w:p>
        </w:tc>
        <w:tc>
          <w:tcPr>
            <w:tcW w:w="816" w:type="dxa"/>
          </w:tcPr>
          <w:p w14:paraId="7325D02E" w14:textId="77777777" w:rsidR="006B08FB" w:rsidRPr="00D91577" w:rsidRDefault="006B08FB" w:rsidP="008D7903">
            <w:pPr>
              <w:spacing w:before="120"/>
              <w:rPr>
                <w:rFonts w:cs="Arial"/>
              </w:rPr>
            </w:pPr>
          </w:p>
        </w:tc>
        <w:tc>
          <w:tcPr>
            <w:tcW w:w="1089" w:type="dxa"/>
          </w:tcPr>
          <w:p w14:paraId="0CB0725F" w14:textId="77777777" w:rsidR="006B08FB" w:rsidRPr="00D91577" w:rsidRDefault="006B08FB" w:rsidP="008D7903">
            <w:pPr>
              <w:spacing w:before="120"/>
              <w:rPr>
                <w:rFonts w:cs="Arial"/>
              </w:rPr>
            </w:pPr>
          </w:p>
        </w:tc>
        <w:tc>
          <w:tcPr>
            <w:tcW w:w="1063" w:type="dxa"/>
          </w:tcPr>
          <w:p w14:paraId="68204B26" w14:textId="77777777" w:rsidR="006B08FB" w:rsidRPr="00D91577" w:rsidRDefault="006B08FB" w:rsidP="008D7903">
            <w:pPr>
              <w:spacing w:before="120"/>
              <w:rPr>
                <w:rFonts w:cs="Arial"/>
              </w:rPr>
            </w:pPr>
          </w:p>
        </w:tc>
        <w:tc>
          <w:tcPr>
            <w:tcW w:w="1089" w:type="dxa"/>
          </w:tcPr>
          <w:p w14:paraId="39EFEA30" w14:textId="77777777" w:rsidR="006B08FB" w:rsidRPr="00D91577" w:rsidRDefault="006B08FB" w:rsidP="008D7903">
            <w:pPr>
              <w:spacing w:before="120"/>
              <w:rPr>
                <w:rFonts w:cs="Arial"/>
              </w:rPr>
            </w:pPr>
          </w:p>
        </w:tc>
        <w:tc>
          <w:tcPr>
            <w:tcW w:w="817" w:type="dxa"/>
          </w:tcPr>
          <w:p w14:paraId="43F8172B" w14:textId="77777777" w:rsidR="006B08FB" w:rsidRPr="00D91577" w:rsidRDefault="006B08FB" w:rsidP="008D7903">
            <w:pPr>
              <w:spacing w:before="120"/>
              <w:rPr>
                <w:rFonts w:cs="Arial"/>
              </w:rPr>
            </w:pPr>
          </w:p>
        </w:tc>
        <w:tc>
          <w:tcPr>
            <w:tcW w:w="952" w:type="dxa"/>
          </w:tcPr>
          <w:p w14:paraId="1F9D9D65" w14:textId="77777777" w:rsidR="006B08FB" w:rsidRPr="00D91577" w:rsidRDefault="006B08FB" w:rsidP="008D7903">
            <w:pPr>
              <w:spacing w:before="120"/>
              <w:rPr>
                <w:rFonts w:cs="Arial"/>
              </w:rPr>
            </w:pPr>
          </w:p>
        </w:tc>
        <w:tc>
          <w:tcPr>
            <w:tcW w:w="1225" w:type="dxa"/>
          </w:tcPr>
          <w:p w14:paraId="7CABFE2F" w14:textId="77777777" w:rsidR="006B08FB" w:rsidRPr="00D91577" w:rsidRDefault="006B08FB" w:rsidP="008D7903">
            <w:pPr>
              <w:spacing w:before="120"/>
              <w:rPr>
                <w:rFonts w:cs="Arial"/>
              </w:rPr>
            </w:pPr>
          </w:p>
        </w:tc>
      </w:tr>
    </w:tbl>
    <w:p w14:paraId="5FFBA61D" w14:textId="50382B84" w:rsidR="00134D03" w:rsidRPr="006C2F60" w:rsidRDefault="00134D03"/>
    <w:sectPr w:rsidR="00134D03" w:rsidRPr="006C2F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2C96D" w14:textId="77777777" w:rsidR="0084188D" w:rsidRDefault="0084188D" w:rsidP="006B08FB">
      <w:pPr>
        <w:spacing w:after="0" w:line="240" w:lineRule="auto"/>
      </w:pPr>
      <w:r>
        <w:separator/>
      </w:r>
    </w:p>
  </w:endnote>
  <w:endnote w:type="continuationSeparator" w:id="0">
    <w:p w14:paraId="71D6C5C6" w14:textId="77777777" w:rsidR="0084188D" w:rsidRDefault="0084188D" w:rsidP="006B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198A3" w14:textId="77777777" w:rsidR="0084188D" w:rsidRDefault="0084188D" w:rsidP="006B08FB">
      <w:pPr>
        <w:spacing w:after="0" w:line="240" w:lineRule="auto"/>
      </w:pPr>
      <w:r>
        <w:separator/>
      </w:r>
    </w:p>
  </w:footnote>
  <w:footnote w:type="continuationSeparator" w:id="0">
    <w:p w14:paraId="259DBAB6" w14:textId="77777777" w:rsidR="0084188D" w:rsidRDefault="0084188D" w:rsidP="006B0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8A0829"/>
    <w:multiLevelType w:val="hybridMultilevel"/>
    <w:tmpl w:val="3D2AE6AE"/>
    <w:lvl w:ilvl="0" w:tplc="C29E990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7C9"/>
    <w:rsid w:val="00024672"/>
    <w:rsid w:val="000C26B1"/>
    <w:rsid w:val="000C76AE"/>
    <w:rsid w:val="000F6A99"/>
    <w:rsid w:val="00134D03"/>
    <w:rsid w:val="00136FD1"/>
    <w:rsid w:val="00145FA8"/>
    <w:rsid w:val="001A5323"/>
    <w:rsid w:val="001F0036"/>
    <w:rsid w:val="002556A8"/>
    <w:rsid w:val="00287079"/>
    <w:rsid w:val="002B6CF2"/>
    <w:rsid w:val="00311238"/>
    <w:rsid w:val="00347ABB"/>
    <w:rsid w:val="00380BF4"/>
    <w:rsid w:val="00396665"/>
    <w:rsid w:val="003E1685"/>
    <w:rsid w:val="003F01AD"/>
    <w:rsid w:val="00466AC8"/>
    <w:rsid w:val="004E0194"/>
    <w:rsid w:val="004F1FBD"/>
    <w:rsid w:val="0053533F"/>
    <w:rsid w:val="00551F05"/>
    <w:rsid w:val="00566C9D"/>
    <w:rsid w:val="00613B99"/>
    <w:rsid w:val="0061406D"/>
    <w:rsid w:val="006B08FB"/>
    <w:rsid w:val="006C2F60"/>
    <w:rsid w:val="00731114"/>
    <w:rsid w:val="0077581E"/>
    <w:rsid w:val="007D5690"/>
    <w:rsid w:val="007E3066"/>
    <w:rsid w:val="00822CA0"/>
    <w:rsid w:val="0084188D"/>
    <w:rsid w:val="00990050"/>
    <w:rsid w:val="009D76BB"/>
    <w:rsid w:val="00A574EF"/>
    <w:rsid w:val="00AA670B"/>
    <w:rsid w:val="00AD1669"/>
    <w:rsid w:val="00B61BB6"/>
    <w:rsid w:val="00B71652"/>
    <w:rsid w:val="00C30C8B"/>
    <w:rsid w:val="00C4475D"/>
    <w:rsid w:val="00C64BAE"/>
    <w:rsid w:val="00CD2675"/>
    <w:rsid w:val="00CE75E7"/>
    <w:rsid w:val="00D15928"/>
    <w:rsid w:val="00D337C9"/>
    <w:rsid w:val="00D55A24"/>
    <w:rsid w:val="00D667CB"/>
    <w:rsid w:val="00E114D9"/>
    <w:rsid w:val="00E75325"/>
    <w:rsid w:val="00EA3891"/>
    <w:rsid w:val="00EB6447"/>
    <w:rsid w:val="00ED50D5"/>
    <w:rsid w:val="00FC75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54E78"/>
  <w15:chartTrackingRefBased/>
  <w15:docId w15:val="{711191CE-BC8A-454B-AAC3-8879908D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semiHidden/>
    <w:unhideWhenUsed/>
    <w:qFormat/>
    <w:rsid w:val="00613B99"/>
    <w:pPr>
      <w:keepNext/>
      <w:spacing w:before="240" w:after="60" w:line="240" w:lineRule="auto"/>
      <w:outlineLvl w:val="1"/>
    </w:pPr>
    <w:rPr>
      <w:rFonts w:ascii="Arial" w:eastAsia="Times New Roman" w:hAnsi="Arial" w:cs="Arial"/>
      <w:b/>
      <w:bCs/>
      <w:i/>
      <w:iCs/>
      <w:sz w:val="28"/>
      <w:szCs w:val="2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667CB"/>
    <w:pPr>
      <w:ind w:left="720"/>
      <w:contextualSpacing/>
    </w:pPr>
  </w:style>
  <w:style w:type="character" w:customStyle="1" w:styleId="Rubrik2Char">
    <w:name w:val="Rubrik 2 Char"/>
    <w:basedOn w:val="Standardstycketeckensnitt"/>
    <w:link w:val="Rubrik2"/>
    <w:semiHidden/>
    <w:rsid w:val="00613B99"/>
    <w:rPr>
      <w:rFonts w:ascii="Arial" w:eastAsia="Times New Roman" w:hAnsi="Arial" w:cs="Arial"/>
      <w:b/>
      <w:bCs/>
      <w:i/>
      <w:iCs/>
      <w:sz w:val="28"/>
      <w:szCs w:val="28"/>
      <w:lang w:eastAsia="sv-SE"/>
    </w:rPr>
  </w:style>
  <w:style w:type="table" w:styleId="Tabellrutnt">
    <w:name w:val="Table Grid"/>
    <w:basedOn w:val="Normaltabell"/>
    <w:rsid w:val="006B08FB"/>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semiHidden/>
    <w:rsid w:val="006B08FB"/>
    <w:pPr>
      <w:spacing w:after="0" w:line="240" w:lineRule="auto"/>
    </w:pPr>
    <w:rPr>
      <w:rFonts w:ascii="Times New Roman" w:eastAsia="Times New Roman" w:hAnsi="Times New Roman" w:cs="Times New Roman"/>
      <w:sz w:val="20"/>
      <w:szCs w:val="20"/>
      <w:lang w:eastAsia="sv-SE"/>
    </w:rPr>
  </w:style>
  <w:style w:type="character" w:customStyle="1" w:styleId="FotnotstextChar">
    <w:name w:val="Fotnotstext Char"/>
    <w:basedOn w:val="Standardstycketeckensnitt"/>
    <w:link w:val="Fotnotstext"/>
    <w:semiHidden/>
    <w:rsid w:val="006B08FB"/>
    <w:rPr>
      <w:rFonts w:ascii="Times New Roman" w:eastAsia="Times New Roman" w:hAnsi="Times New Roman" w:cs="Times New Roman"/>
      <w:sz w:val="20"/>
      <w:szCs w:val="20"/>
      <w:lang w:eastAsia="sv-SE"/>
    </w:rPr>
  </w:style>
  <w:style w:type="character" w:styleId="Fotnotsreferens">
    <w:name w:val="footnote reference"/>
    <w:basedOn w:val="Standardstycketeckensnitt"/>
    <w:semiHidden/>
    <w:rsid w:val="006B08FB"/>
    <w:rPr>
      <w:vertAlign w:val="superscript"/>
    </w:rPr>
  </w:style>
  <w:style w:type="table" w:styleId="Professionelltabell">
    <w:name w:val="Table Professional"/>
    <w:basedOn w:val="Normaltabell"/>
    <w:rsid w:val="006B08FB"/>
    <w:pPr>
      <w:spacing w:after="0" w:line="240" w:lineRule="auto"/>
    </w:pPr>
    <w:rPr>
      <w:rFonts w:ascii="Arial" w:eastAsia="Times New Roman" w:hAnsi="Arial"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uiPriority w:val="99"/>
    <w:unhideWhenUsed/>
    <w:rsid w:val="00FC754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C7542"/>
  </w:style>
  <w:style w:type="paragraph" w:styleId="Sidfot">
    <w:name w:val="footer"/>
    <w:basedOn w:val="Normal"/>
    <w:link w:val="SidfotChar"/>
    <w:uiPriority w:val="99"/>
    <w:unhideWhenUsed/>
    <w:rsid w:val="00FC754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C7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41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480</Words>
  <Characters>2550</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Johansson</dc:creator>
  <cp:keywords/>
  <dc:description/>
  <cp:lastModifiedBy>Linn Johansson</cp:lastModifiedBy>
  <cp:revision>46</cp:revision>
  <dcterms:created xsi:type="dcterms:W3CDTF">2020-12-28T12:49:00Z</dcterms:created>
  <dcterms:modified xsi:type="dcterms:W3CDTF">2020-12-28T13:25:00Z</dcterms:modified>
</cp:coreProperties>
</file>